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F4" w:rsidRDefault="00680EF4"/>
    <w:p w:rsidR="001E1E16" w:rsidRDefault="001E1E16" w:rsidP="00FD79A9">
      <w:pPr>
        <w:pStyle w:val="a3"/>
        <w:spacing w:line="285" w:lineRule="auto"/>
        <w:ind w:left="117" w:right="351" w:firstLine="480"/>
        <w:jc w:val="both"/>
        <w:rPr>
          <w:spacing w:val="-1"/>
        </w:rPr>
      </w:pPr>
    </w:p>
    <w:p w:rsidR="00FD79A9" w:rsidRDefault="00FD79A9" w:rsidP="00FD79A9">
      <w:pPr>
        <w:pStyle w:val="a3"/>
        <w:spacing w:line="285" w:lineRule="auto"/>
        <w:ind w:left="117" w:right="351" w:firstLine="480"/>
        <w:jc w:val="both"/>
      </w:pPr>
      <w:r>
        <w:rPr>
          <w:spacing w:val="-1"/>
        </w:rPr>
        <w:t>國語文寫作能力不僅是國文科的教學責任與學習目標，也是所有學科教師與預備就讀大學的學生均應重視的共通基礎能力。因此國語文寫作能力測驗試題，乃針對大學跨學系的語文表達能力需求而設計。在命題方向與取材上，可擴及人文、社會、自然等不同學科領域，但以不涉及艱深或專業的學科知識為原則；在測驗性質與目標上，兼顧思辨與抒發</w:t>
      </w:r>
      <w:r>
        <w:t>能力，評量學生的閱讀、分析、歸納、感發、體悟、文辭組織等綜合能力。</w:t>
      </w:r>
    </w:p>
    <w:p w:rsidR="00FD79A9" w:rsidRDefault="00FD79A9" w:rsidP="00FD79A9">
      <w:pPr>
        <w:pStyle w:val="a3"/>
        <w:spacing w:before="183" w:line="285" w:lineRule="auto"/>
        <w:ind w:left="117" w:right="351" w:firstLine="480"/>
        <w:jc w:val="both"/>
      </w:pPr>
      <w:r>
        <w:rPr>
          <w:spacing w:val="-1"/>
        </w:rPr>
        <w:t>閱卷委員評閱各題時，</w:t>
      </w:r>
      <w:r w:rsidRPr="001E1E16">
        <w:rPr>
          <w:b/>
          <w:spacing w:val="-1"/>
          <w:bdr w:val="single" w:sz="4" w:space="0" w:color="auto"/>
        </w:rPr>
        <w:t>先判定「等」，再決定「級」，最後擇定「分數」</w:t>
      </w:r>
      <w:r>
        <w:t>（請參考所</w:t>
      </w:r>
      <w:r>
        <w:rPr>
          <w:spacing w:val="-10"/>
        </w:rPr>
        <w:t>附「評閱等級與分數」說明</w:t>
      </w:r>
      <w:r>
        <w:rPr>
          <w:spacing w:val="-58"/>
        </w:rPr>
        <w:t>）</w:t>
      </w:r>
      <w:r>
        <w:rPr>
          <w:spacing w:val="-12"/>
        </w:rPr>
        <w:t>。考生各題得分，依大考中心閱卷機制計算。題目共兩大題，</w:t>
      </w:r>
      <w:r>
        <w:rPr>
          <w:spacing w:val="-60"/>
        </w:rPr>
        <w:t xml:space="preserve"> </w:t>
      </w:r>
      <w:r>
        <w:rPr>
          <w:spacing w:val="-2"/>
        </w:rPr>
        <w:t xml:space="preserve">兩大題分數合計後，占考生學科能力測驗國文考科總成績之 </w:t>
      </w:r>
      <w:r>
        <w:rPr>
          <w:rFonts w:ascii="Times New Roman" w:eastAsia="Times New Roman"/>
        </w:rPr>
        <w:t>50%</w:t>
      </w:r>
      <w:r>
        <w:t>，進而依此計算級分與五標。（如有變動，以該學年度《考試簡章》為準。）</w:t>
      </w:r>
    </w:p>
    <w:p w:rsidR="00FD79A9" w:rsidRDefault="00FD79A9" w:rsidP="00FD79A9">
      <w:pPr>
        <w:pStyle w:val="a3"/>
        <w:spacing w:before="184" w:line="285" w:lineRule="auto"/>
        <w:ind w:left="117" w:right="245" w:firstLine="480"/>
        <w:rPr>
          <w:rFonts w:ascii="Times New Roman" w:eastAsia="Times New Roman"/>
        </w:rPr>
      </w:pPr>
      <w:r>
        <w:t>由於評分採「分題閱卷」，考生作答務必遵守答題規則，第一題須作答於「答案卷」正面，第二題須作答於「答案卷」背面（下圖為示意樣張，實際使用之答案卷以正式考試</w:t>
      </w:r>
      <w:r>
        <w:rPr>
          <w:spacing w:val="-2"/>
        </w:rPr>
        <w:t>前公布為準</w:t>
      </w:r>
      <w:r>
        <w:rPr>
          <w:spacing w:val="-99"/>
        </w:rPr>
        <w:t>）</w:t>
      </w:r>
      <w:r>
        <w:rPr>
          <w:spacing w:val="-5"/>
        </w:rPr>
        <w:t>。此外，作答務必使用筆尖較粗之黑色墨水筆書寫</w:t>
      </w:r>
      <w:r>
        <w:rPr>
          <w:spacing w:val="-1"/>
        </w:rPr>
        <w:t>（</w:t>
      </w:r>
      <w:r>
        <w:rPr>
          <w:spacing w:val="-3"/>
        </w:rPr>
        <w:t xml:space="preserve">建議使用筆尖粗約 </w:t>
      </w:r>
      <w:r>
        <w:rPr>
          <w:rFonts w:ascii="Times New Roman" w:eastAsia="Times New Roman"/>
          <w:spacing w:val="-1"/>
        </w:rPr>
        <w:t>0.5mm</w:t>
      </w:r>
    </w:p>
    <w:p w:rsidR="00680EF4" w:rsidRDefault="00FD79A9" w:rsidP="00FD79A9">
      <w:r>
        <w:t>～</w:t>
      </w:r>
      <w:r>
        <w:rPr>
          <w:rFonts w:ascii="Times New Roman" w:eastAsia="Times New Roman"/>
        </w:rPr>
        <w:t xml:space="preserve">0.7mm </w:t>
      </w:r>
      <w:r>
        <w:t>之黑色原子筆</w:t>
      </w:r>
      <w:r>
        <w:rPr>
          <w:spacing w:val="-58"/>
        </w:rPr>
        <w:t>）</w:t>
      </w:r>
      <w:r>
        <w:rPr>
          <w:spacing w:val="-15"/>
        </w:rPr>
        <w:t>，不得使用鉛筆，並力求字跡清晰，字體在稿紙格內應儘量放大。</w:t>
      </w:r>
    </w:p>
    <w:p w:rsidR="00680EF4" w:rsidRDefault="00680EF4"/>
    <w:p w:rsidR="0072669B" w:rsidRDefault="0072669B" w:rsidP="0072669B">
      <w:pPr>
        <w:pStyle w:val="3"/>
        <w:spacing w:line="418" w:lineRule="exact"/>
      </w:pPr>
      <w:r>
        <w:t>「評閱等級與分數」說明</w:t>
      </w:r>
    </w:p>
    <w:p w:rsidR="0072669B" w:rsidRDefault="0072669B" w:rsidP="0072669B">
      <w:pPr>
        <w:pStyle w:val="a3"/>
        <w:spacing w:before="212" w:line="285" w:lineRule="auto"/>
        <w:ind w:left="117" w:right="352" w:firstLine="480"/>
        <w:jc w:val="both"/>
      </w:pPr>
      <w:r>
        <w:rPr>
          <w:spacing w:val="-4"/>
        </w:rPr>
        <w:t xml:space="preserve">本中心 </w:t>
      </w:r>
      <w:r>
        <w:rPr>
          <w:rFonts w:ascii="Times New Roman" w:eastAsia="Times New Roman"/>
        </w:rPr>
        <w:t>107</w:t>
      </w:r>
      <w:r>
        <w:rPr>
          <w:rFonts w:ascii="Times New Roman" w:eastAsia="Times New Roman"/>
          <w:spacing w:val="-9"/>
        </w:rPr>
        <w:t xml:space="preserve"> </w:t>
      </w:r>
      <w:r>
        <w:t>年考量國內、外各寫作測驗分級多不超過六級，且每級皆有相應的評閱指</w:t>
      </w:r>
      <w:r>
        <w:rPr>
          <w:spacing w:val="-10"/>
        </w:rPr>
        <w:t xml:space="preserve">標，因此將國寫評分定為「三等六級制」，在 </w:t>
      </w:r>
      <w:r>
        <w:rPr>
          <w:rFonts w:ascii="Times New Roman" w:eastAsia="Times New Roman"/>
          <w:spacing w:val="-11"/>
        </w:rPr>
        <w:t>A</w:t>
      </w:r>
      <w:r>
        <w:rPr>
          <w:spacing w:val="-10"/>
        </w:rPr>
        <w:t>、</w:t>
      </w:r>
      <w:r>
        <w:rPr>
          <w:rFonts w:ascii="Times New Roman" w:eastAsia="Times New Roman"/>
          <w:spacing w:val="-12"/>
        </w:rPr>
        <w:t>B</w:t>
      </w:r>
      <w:r>
        <w:rPr>
          <w:spacing w:val="-10"/>
        </w:rPr>
        <w:t>、</w:t>
      </w:r>
      <w:r>
        <w:rPr>
          <w:rFonts w:ascii="Times New Roman" w:eastAsia="Times New Roman"/>
        </w:rPr>
        <w:t xml:space="preserve">C </w:t>
      </w:r>
      <w:r>
        <w:rPr>
          <w:spacing w:val="-5"/>
        </w:rPr>
        <w:t>核心三級之上，表現較佳的考生，</w:t>
      </w:r>
      <w:r>
        <w:rPr>
          <w:spacing w:val="-59"/>
        </w:rPr>
        <w:t xml:space="preserve"> </w:t>
      </w:r>
      <w:r>
        <w:rPr>
          <w:spacing w:val="-1"/>
        </w:rPr>
        <w:t xml:space="preserve">可評給 </w:t>
      </w:r>
      <w:r>
        <w:rPr>
          <w:rFonts w:ascii="Times New Roman" w:eastAsia="Times New Roman"/>
        </w:rPr>
        <w:t>A</w:t>
      </w:r>
      <w:r>
        <w:t>＋、</w:t>
      </w:r>
      <w:r>
        <w:rPr>
          <w:rFonts w:ascii="Times New Roman" w:eastAsia="Times New Roman"/>
        </w:rPr>
        <w:t>B</w:t>
      </w:r>
      <w:r>
        <w:t>＋、</w:t>
      </w:r>
      <w:r>
        <w:rPr>
          <w:rFonts w:ascii="Times New Roman" w:eastAsia="Times New Roman"/>
        </w:rPr>
        <w:t>C</w:t>
      </w:r>
      <w:r>
        <w:t>＋。</w:t>
      </w:r>
    </w:p>
    <w:p w:rsidR="0072669B" w:rsidRDefault="0072669B" w:rsidP="0072669B">
      <w:pPr>
        <w:pStyle w:val="a3"/>
        <w:spacing w:before="182" w:line="285" w:lineRule="auto"/>
        <w:ind w:left="117" w:right="350" w:firstLine="480"/>
        <w:jc w:val="both"/>
      </w:pPr>
      <w:r>
        <w:rPr>
          <w:rFonts w:ascii="Times New Roman" w:eastAsia="Times New Roman"/>
          <w:spacing w:val="-3"/>
        </w:rPr>
        <w:t>A</w:t>
      </w:r>
      <w:r>
        <w:rPr>
          <w:spacing w:val="-3"/>
        </w:rPr>
        <w:t>＋、</w:t>
      </w:r>
      <w:r>
        <w:rPr>
          <w:rFonts w:ascii="Times New Roman" w:eastAsia="Times New Roman"/>
          <w:spacing w:val="-3"/>
        </w:rPr>
        <w:t>A</w:t>
      </w:r>
      <w:r>
        <w:rPr>
          <w:spacing w:val="-3"/>
        </w:rPr>
        <w:t>、</w:t>
      </w:r>
      <w:r>
        <w:rPr>
          <w:rFonts w:ascii="Times New Roman" w:eastAsia="Times New Roman"/>
          <w:spacing w:val="-3"/>
        </w:rPr>
        <w:t>B</w:t>
      </w:r>
      <w:r>
        <w:rPr>
          <w:spacing w:val="-3"/>
        </w:rPr>
        <w:t>＋、</w:t>
      </w:r>
      <w:r>
        <w:rPr>
          <w:rFonts w:ascii="Times New Roman" w:eastAsia="Times New Roman"/>
          <w:spacing w:val="-2"/>
        </w:rPr>
        <w:t>B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>C</w:t>
      </w:r>
      <w:r>
        <w:rPr>
          <w:spacing w:val="-2"/>
        </w:rPr>
        <w:t>＋、</w:t>
      </w:r>
      <w:r>
        <w:rPr>
          <w:rFonts w:ascii="Times New Roman" w:eastAsia="Times New Roman"/>
          <w:spacing w:val="-2"/>
        </w:rPr>
        <w:t>C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2"/>
        </w:rPr>
        <w:t>各級評分原則有清楚的區別，國寫正式閱卷前的評分標準</w:t>
      </w:r>
      <w:r>
        <w:t>訂定會議，將依試題內容訂出實際適用的評分原則。</w:t>
      </w:r>
    </w:p>
    <w:p w:rsidR="0072669B" w:rsidRDefault="0072669B" w:rsidP="0072669B">
      <w:pPr>
        <w:pStyle w:val="a3"/>
        <w:spacing w:before="184"/>
        <w:ind w:left="597"/>
        <w:jc w:val="both"/>
      </w:pPr>
      <w:r>
        <w:rPr>
          <w:spacing w:val="-1"/>
        </w:rPr>
        <w:t xml:space="preserve">三等六級與分數的對照表如下，每級 </w:t>
      </w:r>
      <w:r>
        <w:rPr>
          <w:rFonts w:ascii="Times New Roman" w:eastAsia="Times New Roman"/>
        </w:rPr>
        <w:t xml:space="preserve">4 </w:t>
      </w:r>
      <w:r>
        <w:rPr>
          <w:spacing w:val="-1"/>
        </w:rPr>
        <w:t xml:space="preserve">分，唯 </w:t>
      </w:r>
      <w:r>
        <w:rPr>
          <w:rFonts w:ascii="Times New Roman" w:eastAsia="Times New Roman"/>
        </w:rPr>
        <w:t xml:space="preserve">C </w:t>
      </w:r>
      <w:r>
        <w:t>級因含基本分數，範圍較大：</w:t>
      </w:r>
    </w:p>
    <w:p w:rsidR="0072669B" w:rsidRDefault="0072669B" w:rsidP="0072669B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109"/>
        <w:gridCol w:w="3109"/>
      </w:tblGrid>
      <w:tr w:rsidR="0072669B" w:rsidTr="003522E3">
        <w:trPr>
          <w:trHeight w:val="579"/>
        </w:trPr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72"/>
              <w:ind w:left="1242" w:right="1236"/>
              <w:rPr>
                <w:sz w:val="24"/>
              </w:rPr>
            </w:pPr>
            <w:r>
              <w:rPr>
                <w:sz w:val="24"/>
              </w:rPr>
              <w:t>等第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72"/>
              <w:ind w:left="1241" w:right="1236"/>
              <w:rPr>
                <w:sz w:val="24"/>
              </w:rPr>
            </w:pPr>
            <w:r>
              <w:rPr>
                <w:sz w:val="24"/>
              </w:rPr>
              <w:t>級分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72"/>
              <w:ind w:left="1241" w:right="1236"/>
              <w:rPr>
                <w:sz w:val="24"/>
              </w:rPr>
            </w:pPr>
            <w:r>
              <w:rPr>
                <w:sz w:val="24"/>
              </w:rPr>
              <w:t>分數</w:t>
            </w:r>
          </w:p>
        </w:tc>
      </w:tr>
      <w:tr w:rsidR="0072669B" w:rsidTr="003522E3">
        <w:trPr>
          <w:trHeight w:val="579"/>
        </w:trPr>
        <w:tc>
          <w:tcPr>
            <w:tcW w:w="3109" w:type="dxa"/>
            <w:vMerge w:val="restart"/>
          </w:tcPr>
          <w:p w:rsidR="0072669B" w:rsidRDefault="0072669B" w:rsidP="003522E3">
            <w:pPr>
              <w:pStyle w:val="TableParagraph"/>
              <w:spacing w:before="13"/>
              <w:jc w:val="left"/>
              <w:rPr>
                <w:rFonts w:ascii="新細明體"/>
                <w:sz w:val="36"/>
              </w:rPr>
            </w:pPr>
          </w:p>
          <w:p w:rsidR="0072669B" w:rsidRDefault="0072669B" w:rsidP="003522E3">
            <w:pPr>
              <w:pStyle w:val="TableParagraph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67"/>
              <w:ind w:left="1241" w:right="12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position w:val="1"/>
                <w:sz w:val="24"/>
              </w:rPr>
              <w:t>＋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25-22</w:t>
            </w:r>
          </w:p>
        </w:tc>
      </w:tr>
      <w:tr w:rsidR="0072669B" w:rsidTr="003522E3">
        <w:trPr>
          <w:trHeight w:val="579"/>
        </w:trPr>
        <w:tc>
          <w:tcPr>
            <w:tcW w:w="3109" w:type="dxa"/>
            <w:vMerge/>
            <w:tcBorders>
              <w:top w:val="nil"/>
            </w:tcBorders>
          </w:tcPr>
          <w:p w:rsidR="0072669B" w:rsidRDefault="0072669B" w:rsidP="003522E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21-18</w:t>
            </w:r>
          </w:p>
        </w:tc>
      </w:tr>
      <w:tr w:rsidR="0072669B" w:rsidTr="003522E3">
        <w:trPr>
          <w:trHeight w:val="577"/>
        </w:trPr>
        <w:tc>
          <w:tcPr>
            <w:tcW w:w="3109" w:type="dxa"/>
            <w:vMerge w:val="restart"/>
          </w:tcPr>
          <w:p w:rsidR="0072669B" w:rsidRDefault="0072669B" w:rsidP="003522E3">
            <w:pPr>
              <w:pStyle w:val="TableParagraph"/>
              <w:spacing w:before="13"/>
              <w:jc w:val="left"/>
              <w:rPr>
                <w:rFonts w:ascii="新細明體"/>
                <w:sz w:val="36"/>
              </w:rPr>
            </w:pPr>
          </w:p>
          <w:p w:rsidR="0072669B" w:rsidRDefault="0072669B" w:rsidP="003522E3">
            <w:pPr>
              <w:pStyle w:val="TableParagraph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67"/>
              <w:ind w:left="1236" w:right="12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position w:val="1"/>
                <w:sz w:val="24"/>
              </w:rPr>
              <w:t>＋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17-14</w:t>
            </w:r>
          </w:p>
        </w:tc>
      </w:tr>
      <w:tr w:rsidR="0072669B" w:rsidTr="003522E3">
        <w:trPr>
          <w:trHeight w:val="580"/>
        </w:trPr>
        <w:tc>
          <w:tcPr>
            <w:tcW w:w="3109" w:type="dxa"/>
            <w:vMerge/>
            <w:tcBorders>
              <w:top w:val="nil"/>
            </w:tcBorders>
          </w:tcPr>
          <w:p w:rsidR="0072669B" w:rsidRDefault="0072669B" w:rsidP="003522E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5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5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13-10</w:t>
            </w:r>
          </w:p>
        </w:tc>
      </w:tr>
      <w:tr w:rsidR="0072669B" w:rsidTr="003522E3">
        <w:trPr>
          <w:trHeight w:val="579"/>
        </w:trPr>
        <w:tc>
          <w:tcPr>
            <w:tcW w:w="3109" w:type="dxa"/>
            <w:vMerge w:val="restart"/>
          </w:tcPr>
          <w:p w:rsidR="0072669B" w:rsidRDefault="0072669B" w:rsidP="003522E3">
            <w:pPr>
              <w:pStyle w:val="TableParagraph"/>
              <w:spacing w:before="13"/>
              <w:jc w:val="left"/>
              <w:rPr>
                <w:rFonts w:ascii="新細明體"/>
                <w:sz w:val="36"/>
              </w:rPr>
            </w:pPr>
          </w:p>
          <w:p w:rsidR="0072669B" w:rsidRDefault="0072669B" w:rsidP="003522E3">
            <w:pPr>
              <w:pStyle w:val="TableParagraph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167"/>
              <w:ind w:left="1238" w:right="123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C</w:t>
            </w:r>
            <w:r>
              <w:rPr>
                <w:position w:val="1"/>
                <w:sz w:val="24"/>
              </w:rPr>
              <w:t>＋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9-6</w:t>
            </w:r>
          </w:p>
        </w:tc>
      </w:tr>
      <w:tr w:rsidR="0072669B" w:rsidTr="003522E3">
        <w:trPr>
          <w:trHeight w:val="579"/>
        </w:trPr>
        <w:tc>
          <w:tcPr>
            <w:tcW w:w="3109" w:type="dxa"/>
            <w:vMerge/>
            <w:tcBorders>
              <w:top w:val="nil"/>
            </w:tcBorders>
          </w:tcPr>
          <w:p w:rsidR="0072669B" w:rsidRDefault="0072669B" w:rsidP="003522E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1243" w:right="1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5-1</w:t>
            </w:r>
          </w:p>
        </w:tc>
      </w:tr>
      <w:tr w:rsidR="0072669B" w:rsidTr="003522E3">
        <w:trPr>
          <w:trHeight w:val="579"/>
        </w:trPr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109" w:type="dxa"/>
          </w:tcPr>
          <w:p w:rsidR="0072669B" w:rsidRDefault="0072669B" w:rsidP="003522E3">
            <w:pPr>
              <w:pStyle w:val="TableParagraph"/>
              <w:spacing w:before="212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72669B" w:rsidRDefault="0072669B" w:rsidP="0072669B">
      <w:pPr>
        <w:rPr>
          <w:rFonts w:ascii="Times New Roman"/>
        </w:rPr>
        <w:sectPr w:rsidR="0072669B" w:rsidSect="001E1E16">
          <w:headerReference w:type="default" r:id="rId7"/>
          <w:footerReference w:type="default" r:id="rId8"/>
          <w:pgSz w:w="11910" w:h="16840"/>
          <w:pgMar w:top="1135" w:right="853" w:bottom="940" w:left="1160" w:header="454" w:footer="454" w:gutter="0"/>
          <w:cols w:space="720"/>
          <w:docGrid w:linePitch="326"/>
        </w:sectPr>
      </w:pPr>
    </w:p>
    <w:p w:rsidR="0072669B" w:rsidRDefault="0072669B" w:rsidP="0072669B"/>
    <w:p w:rsidR="0072669B" w:rsidRPr="0072669B" w:rsidRDefault="0072669B" w:rsidP="0072669B">
      <w:pPr>
        <w:autoSpaceDE w:val="0"/>
        <w:autoSpaceDN w:val="0"/>
        <w:spacing w:line="440" w:lineRule="exact"/>
        <w:ind w:left="117"/>
        <w:outlineLvl w:val="2"/>
        <w:rPr>
          <w:rFonts w:ascii="Microsoft YaHei" w:eastAsia="Microsoft YaHei" w:hAnsi="Microsoft YaHei" w:cs="Microsoft YaHei"/>
          <w:b/>
          <w:bCs/>
          <w:kern w:val="0"/>
          <w:szCs w:val="24"/>
        </w:rPr>
      </w:pPr>
      <w:r w:rsidRPr="0072669B">
        <w:rPr>
          <w:rFonts w:ascii="Microsoft YaHei" w:eastAsia="Microsoft YaHei" w:hAnsi="Microsoft YaHei" w:cs="Microsoft YaHei"/>
          <w:b/>
          <w:bCs/>
          <w:kern w:val="0"/>
          <w:szCs w:val="24"/>
        </w:rPr>
        <w:t>國語文寫作能力測驗表現描述是什麼？</w:t>
      </w:r>
    </w:p>
    <w:p w:rsidR="0072669B" w:rsidRPr="0072669B" w:rsidRDefault="0072669B" w:rsidP="0072669B">
      <w:pPr>
        <w:autoSpaceDE w:val="0"/>
        <w:autoSpaceDN w:val="0"/>
        <w:spacing w:before="42" w:after="56"/>
        <w:ind w:left="117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TableNormal"/>
        <w:tblW w:w="8950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4239"/>
        <w:gridCol w:w="3835"/>
      </w:tblGrid>
      <w:tr w:rsidR="0072669B" w:rsidRPr="0072669B" w:rsidTr="001E1E16">
        <w:trPr>
          <w:trHeight w:val="993"/>
        </w:trPr>
        <w:tc>
          <w:tcPr>
            <w:tcW w:w="876" w:type="dxa"/>
            <w:shd w:val="clear" w:color="auto" w:fill="D9D9D9"/>
          </w:tcPr>
          <w:p w:rsidR="0072669B" w:rsidRPr="0072669B" w:rsidRDefault="0072669B" w:rsidP="0072669B">
            <w:pPr>
              <w:spacing w:before="8"/>
              <w:rPr>
                <w:rFonts w:ascii="新細明體" w:eastAsia="細明體" w:hAnsi="細明體" w:cs="細明體"/>
                <w:sz w:val="26"/>
                <w:lang w:eastAsia="zh-TW"/>
              </w:rPr>
            </w:pPr>
          </w:p>
          <w:p w:rsidR="0072669B" w:rsidRPr="0072669B" w:rsidRDefault="0072669B" w:rsidP="0072669B">
            <w:pPr>
              <w:ind w:left="176" w:right="169"/>
              <w:jc w:val="center"/>
              <w:rPr>
                <w:rFonts w:ascii="細明體" w:eastAsia="細明體" w:hAnsi="細明體" w:cs="細明體"/>
              </w:rPr>
            </w:pPr>
            <w:r w:rsidRPr="0072669B">
              <w:rPr>
                <w:rFonts w:ascii="細明體" w:eastAsia="細明體" w:hAnsi="細明體" w:cs="細明體"/>
              </w:rPr>
              <w:t>等第</w:t>
            </w:r>
          </w:p>
        </w:tc>
        <w:tc>
          <w:tcPr>
            <w:tcW w:w="4239" w:type="dxa"/>
            <w:shd w:val="clear" w:color="auto" w:fill="D9D9D9"/>
          </w:tcPr>
          <w:p w:rsidR="001E1E16" w:rsidRDefault="0072669B" w:rsidP="001E1E16">
            <w:pPr>
              <w:spacing w:before="177" w:line="232" w:lineRule="auto"/>
              <w:ind w:left="1637" w:right="1030" w:hanging="601"/>
              <w:jc w:val="center"/>
              <w:rPr>
                <w:rFonts w:ascii="細明體" w:eastAsia="細明體" w:hAnsi="細明體" w:cs="細明體"/>
                <w:spacing w:val="-1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1"/>
                <w:lang w:eastAsia="zh-TW"/>
              </w:rPr>
              <w:t>「知性的統整判斷」</w:t>
            </w:r>
          </w:p>
          <w:p w:rsidR="0072669B" w:rsidRPr="0072669B" w:rsidRDefault="0072669B" w:rsidP="001E1E16">
            <w:pPr>
              <w:spacing w:before="177" w:line="232" w:lineRule="auto"/>
              <w:ind w:left="1637" w:right="1030" w:hanging="601"/>
              <w:jc w:val="center"/>
              <w:rPr>
                <w:rFonts w:ascii="Microsoft YaHei" w:eastAsia="Microsoft YaHei" w:hAnsi="細明體" w:cs="細明體"/>
                <w:b/>
                <w:lang w:eastAsia="zh-TW"/>
              </w:rPr>
            </w:pPr>
            <w:r w:rsidRPr="0072669B">
              <w:rPr>
                <w:rFonts w:ascii="Microsoft YaHei" w:eastAsia="Microsoft YaHei" w:hAnsi="細明體" w:cs="細明體" w:hint="eastAsia"/>
                <w:b/>
                <w:lang w:eastAsia="zh-TW"/>
              </w:rPr>
              <w:t>表現描述</w:t>
            </w:r>
          </w:p>
        </w:tc>
        <w:tc>
          <w:tcPr>
            <w:tcW w:w="3835" w:type="dxa"/>
            <w:shd w:val="clear" w:color="auto" w:fill="D9D9D9"/>
          </w:tcPr>
          <w:p w:rsidR="001E1E16" w:rsidRDefault="0072669B" w:rsidP="001E1E16">
            <w:pPr>
              <w:spacing w:before="177" w:line="232" w:lineRule="auto"/>
              <w:ind w:left="1636" w:right="1027" w:hanging="919"/>
              <w:jc w:val="center"/>
              <w:rPr>
                <w:rFonts w:ascii="細明體" w:eastAsia="細明體" w:hAnsi="細明體" w:cs="細明體"/>
                <w:spacing w:val="-1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1"/>
                <w:lang w:eastAsia="zh-TW"/>
              </w:rPr>
              <w:t>「情意的感受抒發」</w:t>
            </w:r>
          </w:p>
          <w:p w:rsidR="0072669B" w:rsidRPr="0072669B" w:rsidRDefault="0072669B" w:rsidP="001E1E16">
            <w:pPr>
              <w:spacing w:before="177" w:line="232" w:lineRule="auto"/>
              <w:ind w:left="1636" w:right="1027" w:hanging="919"/>
              <w:jc w:val="center"/>
              <w:rPr>
                <w:rFonts w:ascii="Microsoft YaHei" w:eastAsia="Microsoft YaHei" w:hAnsi="細明體" w:cs="細明體"/>
                <w:b/>
                <w:lang w:eastAsia="zh-TW"/>
              </w:rPr>
            </w:pPr>
            <w:r w:rsidRPr="0072669B">
              <w:rPr>
                <w:rFonts w:ascii="Microsoft YaHei" w:eastAsia="Microsoft YaHei" w:hAnsi="細明體" w:cs="細明體" w:hint="eastAsia"/>
                <w:b/>
                <w:lang w:eastAsia="zh-TW"/>
              </w:rPr>
              <w:t>表現描述</w:t>
            </w:r>
          </w:p>
        </w:tc>
      </w:tr>
      <w:tr w:rsidR="0072669B" w:rsidRPr="0072669B" w:rsidTr="001E1E16">
        <w:trPr>
          <w:trHeight w:val="1418"/>
        </w:trPr>
        <w:tc>
          <w:tcPr>
            <w:tcW w:w="876" w:type="dxa"/>
          </w:tcPr>
          <w:p w:rsidR="0072669B" w:rsidRPr="0072669B" w:rsidRDefault="0072669B" w:rsidP="0072669B">
            <w:pPr>
              <w:rPr>
                <w:rFonts w:ascii="新細明體" w:eastAsia="細明體" w:hAnsi="細明體" w:cs="細明體"/>
                <w:sz w:val="26"/>
                <w:lang w:eastAsia="zh-TW"/>
              </w:rPr>
            </w:pPr>
          </w:p>
          <w:p w:rsidR="0072669B" w:rsidRPr="0072669B" w:rsidRDefault="0072669B" w:rsidP="0072669B">
            <w:pPr>
              <w:spacing w:before="10"/>
              <w:rPr>
                <w:rFonts w:ascii="新細明體" w:eastAsia="細明體" w:hAnsi="細明體" w:cs="細明體"/>
                <w:sz w:val="18"/>
                <w:lang w:eastAsia="zh-TW"/>
              </w:rPr>
            </w:pPr>
          </w:p>
          <w:p w:rsidR="0072669B" w:rsidRPr="0072669B" w:rsidRDefault="0072669B" w:rsidP="0072669B">
            <w:pPr>
              <w:ind w:left="7"/>
              <w:jc w:val="center"/>
              <w:rPr>
                <w:rFonts w:ascii="Times New Roman" w:eastAsia="細明體" w:hAnsi="細明體" w:cs="細明體"/>
              </w:rPr>
            </w:pPr>
            <w:r w:rsidRPr="0072669B">
              <w:rPr>
                <w:rFonts w:ascii="Times New Roman" w:eastAsia="細明體" w:hAnsi="細明體" w:cs="細明體"/>
              </w:rPr>
              <w:t>A</w:t>
            </w:r>
          </w:p>
        </w:tc>
        <w:tc>
          <w:tcPr>
            <w:tcW w:w="4239" w:type="dxa"/>
          </w:tcPr>
          <w:p w:rsidR="0072669B" w:rsidRPr="0072669B" w:rsidRDefault="0072669B" w:rsidP="0072669B">
            <w:pPr>
              <w:spacing w:before="182" w:line="288" w:lineRule="auto"/>
              <w:ind w:left="107" w:right="96"/>
              <w:jc w:val="both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4"/>
                <w:lang w:eastAsia="zh-TW"/>
              </w:rPr>
              <w:t>能</w:t>
            </w:r>
            <w:r w:rsidRPr="001E1E16">
              <w:rPr>
                <w:rFonts w:ascii="細明體" w:eastAsia="細明體" w:hAnsi="細明體" w:cs="細明體"/>
                <w:spacing w:val="-4"/>
                <w:bdr w:val="single" w:sz="4" w:space="0" w:color="auto"/>
                <w:lang w:eastAsia="zh-TW"/>
              </w:rPr>
              <w:t>精確掌握題旨</w:t>
            </w:r>
            <w:r w:rsidRPr="0072669B">
              <w:rPr>
                <w:rFonts w:ascii="細明體" w:eastAsia="細明體" w:hAnsi="細明體" w:cs="細明體"/>
                <w:spacing w:val="-4"/>
                <w:lang w:eastAsia="zh-TW"/>
              </w:rPr>
              <w:t>，善用各種材料加以拓展發揮，思考深刻，</w:t>
            </w:r>
            <w:r w:rsidRPr="001E1E16">
              <w:rPr>
                <w:rFonts w:ascii="細明體" w:eastAsia="細明體" w:hAnsi="細明體" w:cs="細明體"/>
                <w:spacing w:val="-4"/>
                <w:bdr w:val="single" w:sz="4" w:space="0" w:color="auto"/>
                <w:lang w:eastAsia="zh-TW"/>
              </w:rPr>
              <w:t>論述明確</w:t>
            </w:r>
            <w:r w:rsidRPr="0072669B">
              <w:rPr>
                <w:rFonts w:ascii="細明體" w:eastAsia="細明體" w:hAnsi="細明體" w:cs="細明體"/>
                <w:spacing w:val="-4"/>
                <w:lang w:eastAsia="zh-TW"/>
              </w:rPr>
              <w:t>，</w:t>
            </w:r>
            <w:r w:rsidRPr="001E1E16">
              <w:rPr>
                <w:rFonts w:ascii="細明體" w:eastAsia="細明體" w:hAnsi="細明體" w:cs="細明體"/>
                <w:spacing w:val="-4"/>
                <w:bdr w:val="single" w:sz="4" w:space="0" w:color="auto"/>
                <w:lang w:eastAsia="zh-TW"/>
              </w:rPr>
              <w:t>結構嚴</w:t>
            </w:r>
            <w:r w:rsidRPr="001E1E16">
              <w:rPr>
                <w:rFonts w:ascii="細明體" w:eastAsia="細明體" w:hAnsi="細明體" w:cs="細明體"/>
                <w:bdr w:val="single" w:sz="4" w:space="0" w:color="auto"/>
                <w:lang w:eastAsia="zh-TW"/>
              </w:rPr>
              <w:t>謹</w:t>
            </w:r>
            <w:r w:rsidRPr="0072669B">
              <w:rPr>
                <w:rFonts w:ascii="細明體" w:eastAsia="細明體" w:hAnsi="細明體" w:cs="細明體"/>
                <w:lang w:eastAsia="zh-TW"/>
              </w:rPr>
              <w:t>，</w:t>
            </w:r>
            <w:r w:rsidRPr="001E1E16">
              <w:rPr>
                <w:rFonts w:ascii="細明體" w:eastAsia="細明體" w:hAnsi="細明體" w:cs="細明體"/>
                <w:bdr w:val="single" w:sz="4" w:space="0" w:color="auto"/>
                <w:lang w:eastAsia="zh-TW"/>
              </w:rPr>
              <w:t>文辭暢達</w:t>
            </w:r>
            <w:r w:rsidRPr="0072669B">
              <w:rPr>
                <w:rFonts w:ascii="細明體" w:eastAsia="細明體" w:hAnsi="細明體" w:cs="細明體"/>
                <w:lang w:eastAsia="zh-TW"/>
              </w:rPr>
              <w:t>。</w:t>
            </w:r>
          </w:p>
        </w:tc>
        <w:tc>
          <w:tcPr>
            <w:tcW w:w="3835" w:type="dxa"/>
          </w:tcPr>
          <w:p w:rsidR="0072669B" w:rsidRPr="0072669B" w:rsidRDefault="0072669B" w:rsidP="0072669B">
            <w:pPr>
              <w:spacing w:before="6"/>
              <w:rPr>
                <w:rFonts w:ascii="新細明體" w:eastAsia="細明體" w:hAnsi="細明體" w:cs="細明體"/>
                <w:sz w:val="27"/>
                <w:lang w:eastAsia="zh-TW"/>
              </w:rPr>
            </w:pPr>
          </w:p>
          <w:p w:rsidR="0072669B" w:rsidRPr="0072669B" w:rsidRDefault="0072669B" w:rsidP="0072669B">
            <w:pPr>
              <w:spacing w:line="285" w:lineRule="auto"/>
              <w:ind w:left="105" w:right="38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17"/>
                <w:lang w:eastAsia="zh-TW"/>
              </w:rPr>
              <w:t>能精確掌握題旨，發揮想像，構思巧妙，</w:t>
            </w:r>
            <w:r w:rsidRPr="0072669B">
              <w:rPr>
                <w:rFonts w:ascii="細明體" w:eastAsia="細明體" w:hAnsi="細明體" w:cs="細明體"/>
                <w:spacing w:val="-117"/>
                <w:lang w:eastAsia="zh-TW"/>
              </w:rPr>
              <w:t xml:space="preserve"> </w:t>
            </w:r>
            <w:r w:rsidRPr="0072669B">
              <w:rPr>
                <w:rFonts w:ascii="細明體" w:eastAsia="細明體" w:hAnsi="細明體" w:cs="細明體"/>
                <w:lang w:eastAsia="zh-TW"/>
              </w:rPr>
              <w:t>體悟深刻，結構完整，情辭動人。</w:t>
            </w:r>
          </w:p>
        </w:tc>
      </w:tr>
      <w:tr w:rsidR="0072669B" w:rsidRPr="0072669B" w:rsidTr="001E1E16">
        <w:trPr>
          <w:trHeight w:val="990"/>
        </w:trPr>
        <w:tc>
          <w:tcPr>
            <w:tcW w:w="876" w:type="dxa"/>
          </w:tcPr>
          <w:p w:rsidR="0072669B" w:rsidRPr="0072669B" w:rsidRDefault="0072669B" w:rsidP="0072669B">
            <w:pPr>
              <w:spacing w:before="6"/>
              <w:rPr>
                <w:rFonts w:ascii="新細明體" w:eastAsia="細明體" w:hAnsi="細明體" w:cs="細明體"/>
                <w:sz w:val="29"/>
                <w:lang w:eastAsia="zh-TW"/>
              </w:rPr>
            </w:pPr>
          </w:p>
          <w:p w:rsidR="0072669B" w:rsidRPr="0072669B" w:rsidRDefault="0072669B" w:rsidP="0072669B">
            <w:pPr>
              <w:ind w:left="8"/>
              <w:jc w:val="center"/>
              <w:rPr>
                <w:rFonts w:ascii="Times New Roman" w:eastAsia="細明體" w:hAnsi="細明體" w:cs="細明體"/>
              </w:rPr>
            </w:pPr>
            <w:r w:rsidRPr="0072669B">
              <w:rPr>
                <w:rFonts w:ascii="Times New Roman" w:eastAsia="細明體" w:hAnsi="細明體" w:cs="細明體"/>
              </w:rPr>
              <w:t>B</w:t>
            </w:r>
          </w:p>
        </w:tc>
        <w:tc>
          <w:tcPr>
            <w:tcW w:w="4239" w:type="dxa"/>
          </w:tcPr>
          <w:p w:rsidR="0072669B" w:rsidRPr="0072669B" w:rsidRDefault="0072669B" w:rsidP="0072669B">
            <w:pPr>
              <w:spacing w:before="170" w:line="285" w:lineRule="auto"/>
              <w:ind w:left="107" w:right="39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2"/>
                <w:lang w:eastAsia="zh-TW"/>
              </w:rPr>
              <w:t>大致能掌握題旨，取用相關材料加以論</w:t>
            </w:r>
            <w:r w:rsidRPr="0072669B">
              <w:rPr>
                <w:rFonts w:ascii="細明體" w:eastAsia="細明體" w:hAnsi="細明體" w:cs="細明體"/>
                <w:spacing w:val="-1"/>
                <w:lang w:eastAsia="zh-TW"/>
              </w:rPr>
              <w:t>述，內容平實，結構平穩，文辭平順。</w:t>
            </w:r>
          </w:p>
        </w:tc>
        <w:tc>
          <w:tcPr>
            <w:tcW w:w="3835" w:type="dxa"/>
          </w:tcPr>
          <w:p w:rsidR="0072669B" w:rsidRPr="0072669B" w:rsidRDefault="0072669B" w:rsidP="0072669B">
            <w:pPr>
              <w:spacing w:before="170" w:line="285" w:lineRule="auto"/>
              <w:ind w:left="105" w:right="95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4"/>
                <w:lang w:eastAsia="zh-TW"/>
              </w:rPr>
              <w:t>大致能掌握題旨，略能發揮想像、抒發</w:t>
            </w:r>
            <w:r w:rsidRPr="0072669B">
              <w:rPr>
                <w:rFonts w:ascii="細明體" w:eastAsia="細明體" w:hAnsi="細明體" w:cs="細明體"/>
                <w:lang w:eastAsia="zh-TW"/>
              </w:rPr>
              <w:t>情感，結構尚稱完整，文辭平順。</w:t>
            </w:r>
          </w:p>
        </w:tc>
      </w:tr>
      <w:tr w:rsidR="0072669B" w:rsidRPr="0072669B" w:rsidTr="001E1E16">
        <w:trPr>
          <w:trHeight w:val="993"/>
        </w:trPr>
        <w:tc>
          <w:tcPr>
            <w:tcW w:w="876" w:type="dxa"/>
          </w:tcPr>
          <w:p w:rsidR="0072669B" w:rsidRPr="0072669B" w:rsidRDefault="0072669B" w:rsidP="0072669B">
            <w:pPr>
              <w:spacing w:before="8"/>
              <w:rPr>
                <w:rFonts w:ascii="新細明體" w:eastAsia="細明體" w:hAnsi="細明體" w:cs="細明體"/>
                <w:sz w:val="29"/>
                <w:lang w:eastAsia="zh-TW"/>
              </w:rPr>
            </w:pPr>
          </w:p>
          <w:p w:rsidR="0072669B" w:rsidRPr="0072669B" w:rsidRDefault="0072669B" w:rsidP="0072669B">
            <w:pPr>
              <w:ind w:left="8"/>
              <w:jc w:val="center"/>
              <w:rPr>
                <w:rFonts w:ascii="Times New Roman" w:eastAsia="細明體" w:hAnsi="細明體" w:cs="細明體"/>
              </w:rPr>
            </w:pPr>
            <w:r w:rsidRPr="0072669B">
              <w:rPr>
                <w:rFonts w:ascii="Times New Roman" w:eastAsia="細明體" w:hAnsi="細明體" w:cs="細明體"/>
              </w:rPr>
              <w:t>C</w:t>
            </w:r>
          </w:p>
        </w:tc>
        <w:tc>
          <w:tcPr>
            <w:tcW w:w="4239" w:type="dxa"/>
          </w:tcPr>
          <w:p w:rsidR="0072669B" w:rsidRPr="0072669B" w:rsidRDefault="0072669B" w:rsidP="0072669B">
            <w:pPr>
              <w:spacing w:before="170" w:line="285" w:lineRule="auto"/>
              <w:ind w:left="107" w:right="36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12"/>
                <w:lang w:eastAsia="zh-TW"/>
              </w:rPr>
              <w:t>敘寫不盡符合題旨，材料運用未盡允</w:t>
            </w:r>
            <w:r w:rsidRPr="0072669B">
              <w:rPr>
                <w:rFonts w:ascii="細明體" w:eastAsia="細明體" w:hAnsi="細明體" w:cs="細明體"/>
                <w:spacing w:val="-18"/>
                <w:lang w:eastAsia="zh-TW"/>
              </w:rPr>
              <w:t>當，缺乏己見，結構鬆散，文辭欠通順。</w:t>
            </w:r>
          </w:p>
        </w:tc>
        <w:tc>
          <w:tcPr>
            <w:tcW w:w="3835" w:type="dxa"/>
          </w:tcPr>
          <w:p w:rsidR="0072669B" w:rsidRPr="0072669B" w:rsidRDefault="0072669B" w:rsidP="0072669B">
            <w:pPr>
              <w:spacing w:before="170" w:line="285" w:lineRule="auto"/>
              <w:ind w:left="105" w:right="95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spacing w:val="-4"/>
                <w:lang w:eastAsia="zh-TW"/>
              </w:rPr>
              <w:t>敘寫不盡符合題旨，情意浮泛，結構鬆</w:t>
            </w:r>
            <w:r w:rsidRPr="0072669B">
              <w:rPr>
                <w:rFonts w:ascii="細明體" w:eastAsia="細明體" w:hAnsi="細明體" w:cs="細明體"/>
                <w:lang w:eastAsia="zh-TW"/>
              </w:rPr>
              <w:t>散，文辭欠通順。</w:t>
            </w:r>
          </w:p>
        </w:tc>
      </w:tr>
      <w:tr w:rsidR="0072669B" w:rsidRPr="0072669B" w:rsidTr="001E1E16">
        <w:trPr>
          <w:trHeight w:val="566"/>
        </w:trPr>
        <w:tc>
          <w:tcPr>
            <w:tcW w:w="876" w:type="dxa"/>
          </w:tcPr>
          <w:p w:rsidR="0072669B" w:rsidRPr="0072669B" w:rsidRDefault="0072669B" w:rsidP="0072669B">
            <w:pPr>
              <w:spacing w:before="200"/>
              <w:ind w:left="7"/>
              <w:jc w:val="center"/>
              <w:rPr>
                <w:rFonts w:ascii="Times New Roman" w:eastAsia="細明體" w:hAnsi="細明體" w:cs="細明體"/>
              </w:rPr>
            </w:pPr>
            <w:r w:rsidRPr="0072669B">
              <w:rPr>
                <w:rFonts w:ascii="Times New Roman" w:eastAsia="細明體" w:hAnsi="細明體" w:cs="細明體"/>
              </w:rPr>
              <w:t>0</w:t>
            </w:r>
          </w:p>
        </w:tc>
        <w:tc>
          <w:tcPr>
            <w:tcW w:w="4239" w:type="dxa"/>
          </w:tcPr>
          <w:p w:rsidR="0072669B" w:rsidRPr="0072669B" w:rsidRDefault="0072669B" w:rsidP="0072669B">
            <w:pPr>
              <w:spacing w:before="158"/>
              <w:ind w:left="107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lang w:eastAsia="zh-TW"/>
              </w:rPr>
              <w:t>空白卷，或文不對題，或僅抄錄題幹。</w:t>
            </w:r>
          </w:p>
        </w:tc>
        <w:tc>
          <w:tcPr>
            <w:tcW w:w="3835" w:type="dxa"/>
          </w:tcPr>
          <w:p w:rsidR="0072669B" w:rsidRPr="0072669B" w:rsidRDefault="0072669B" w:rsidP="0072669B">
            <w:pPr>
              <w:spacing w:before="158"/>
              <w:ind w:left="105"/>
              <w:rPr>
                <w:rFonts w:ascii="細明體" w:eastAsia="細明體" w:hAnsi="細明體" w:cs="細明體"/>
                <w:lang w:eastAsia="zh-TW"/>
              </w:rPr>
            </w:pPr>
            <w:r w:rsidRPr="0072669B">
              <w:rPr>
                <w:rFonts w:ascii="細明體" w:eastAsia="細明體" w:hAnsi="細明體" w:cs="細明體"/>
                <w:lang w:eastAsia="zh-TW"/>
              </w:rPr>
              <w:t>空白卷，或文不對題，或僅抄錄題幹。</w:t>
            </w:r>
          </w:p>
        </w:tc>
      </w:tr>
    </w:tbl>
    <w:p w:rsidR="0072669B" w:rsidRPr="0072669B" w:rsidRDefault="0072669B" w:rsidP="0072669B">
      <w:pPr>
        <w:autoSpaceDE w:val="0"/>
        <w:autoSpaceDN w:val="0"/>
        <w:rPr>
          <w:rFonts w:ascii="新細明體" w:eastAsia="新細明體" w:hAnsi="新細明體" w:cs="新細明體"/>
          <w:kern w:val="0"/>
          <w:sz w:val="26"/>
          <w:szCs w:val="24"/>
        </w:rPr>
      </w:pPr>
    </w:p>
    <w:p w:rsidR="0072669B" w:rsidRDefault="0072669B" w:rsidP="0072669B">
      <w:r>
        <w:rPr>
          <w:rFonts w:hint="eastAsia"/>
        </w:rPr>
        <w:t>此次為因應</w:t>
      </w:r>
      <w:r>
        <w:rPr>
          <w:rFonts w:hint="eastAsia"/>
        </w:rPr>
        <w:t xml:space="preserve"> 108 </w:t>
      </w:r>
      <w:r>
        <w:rPr>
          <w:rFonts w:hint="eastAsia"/>
        </w:rPr>
        <w:t>課綱的實施，依據「十二年國民基本教育課程綱要總綱」，以核心素養為課程連貫與統整發展的主軸，將測驗目標修訂如下：</w:t>
      </w:r>
    </w:p>
    <w:p w:rsidR="0072669B" w:rsidRDefault="0072669B" w:rsidP="0072669B">
      <w:r>
        <w:rPr>
          <w:rFonts w:hint="eastAsia"/>
        </w:rPr>
        <w:t>一、知性的統整判斷能力</w:t>
      </w:r>
    </w:p>
    <w:p w:rsidR="0072669B" w:rsidRDefault="0072669B" w:rsidP="0072669B">
      <w:r>
        <w:rPr>
          <w:rFonts w:hint="eastAsia"/>
        </w:rPr>
        <w:t>測驗考生是否具備統整判斷的省思推論能力，評量目標包括：</w:t>
      </w:r>
    </w:p>
    <w:p w:rsidR="0072669B" w:rsidRDefault="0072669B" w:rsidP="0072669B">
      <w:r>
        <w:rPr>
          <w:rFonts w:hint="eastAsia"/>
        </w:rPr>
        <w:t>(1)</w:t>
      </w:r>
      <w:r>
        <w:rPr>
          <w:rFonts w:hint="eastAsia"/>
        </w:rPr>
        <w:tab/>
      </w:r>
      <w:r>
        <w:rPr>
          <w:rFonts w:hint="eastAsia"/>
        </w:rPr>
        <w:t>正確解讀文字或圖表，系統理解、分析歸納，具體描述說明。</w:t>
      </w:r>
    </w:p>
    <w:p w:rsidR="0072669B" w:rsidRDefault="0072669B" w:rsidP="0072669B"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針對議題進行思辨，提出個人的見解與評斷。</w:t>
      </w:r>
    </w:p>
    <w:p w:rsidR="0072669B" w:rsidRDefault="0072669B" w:rsidP="0072669B"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文辭組織與表達能力。二、情意的感受抒發能力</w:t>
      </w:r>
    </w:p>
    <w:p w:rsidR="0072669B" w:rsidRDefault="0072669B" w:rsidP="0072669B">
      <w:r>
        <w:rPr>
          <w:rFonts w:hint="eastAsia"/>
        </w:rPr>
        <w:t>測驗考生是否具備情意、想像等感發體悟能力，評量目標包括：</w:t>
      </w:r>
    </w:p>
    <w:p w:rsidR="0072669B" w:rsidRDefault="0072669B" w:rsidP="0072669B">
      <w:r>
        <w:rPr>
          <w:rFonts w:hint="eastAsia"/>
        </w:rPr>
        <w:t>(1)</w:t>
      </w:r>
      <w:r>
        <w:rPr>
          <w:rFonts w:hint="eastAsia"/>
        </w:rPr>
        <w:tab/>
      </w:r>
      <w:r w:rsidRPr="001E1E16">
        <w:rPr>
          <w:rFonts w:hint="eastAsia"/>
          <w:b/>
          <w:sz w:val="26"/>
          <w:szCs w:val="26"/>
        </w:rPr>
        <w:t>具體寫出個人的生活經驗，從中感知聯想、創造抒發</w:t>
      </w:r>
      <w:r>
        <w:rPr>
          <w:rFonts w:hint="eastAsia"/>
        </w:rPr>
        <w:t>。</w:t>
      </w:r>
    </w:p>
    <w:p w:rsidR="0072669B" w:rsidRDefault="0072669B" w:rsidP="0072669B">
      <w:r>
        <w:rPr>
          <w:rFonts w:hint="eastAsia"/>
        </w:rPr>
        <w:t>(2)</w:t>
      </w:r>
      <w:r>
        <w:rPr>
          <w:rFonts w:hint="eastAsia"/>
        </w:rPr>
        <w:tab/>
      </w:r>
      <w:r>
        <w:rPr>
          <w:rFonts w:hint="eastAsia"/>
        </w:rPr>
        <w:t>針對問題的情境，真誠抒發個人的情感與體會。</w:t>
      </w:r>
    </w:p>
    <w:p w:rsidR="0072669B" w:rsidRDefault="0072669B" w:rsidP="0072669B"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文辭組織與表達能力。</w:t>
      </w:r>
    </w:p>
    <w:p w:rsidR="0072669B" w:rsidRDefault="0072669B" w:rsidP="0072669B"/>
    <w:p w:rsidR="0072669B" w:rsidRDefault="0072669B" w:rsidP="0072669B">
      <w:pPr>
        <w:rPr>
          <w:rFonts w:hint="eastAsia"/>
        </w:rPr>
      </w:pPr>
    </w:p>
    <w:p w:rsidR="00B10795" w:rsidRDefault="00B10795" w:rsidP="0072669B">
      <w:pPr>
        <w:rPr>
          <w:rFonts w:hint="eastAsia"/>
        </w:rPr>
      </w:pPr>
    </w:p>
    <w:p w:rsidR="00B10795" w:rsidRDefault="00B10795" w:rsidP="0072669B">
      <w:pPr>
        <w:rPr>
          <w:rFonts w:hint="eastAsia"/>
        </w:rPr>
      </w:pPr>
    </w:p>
    <w:p w:rsidR="00B10795" w:rsidRPr="00B10795" w:rsidRDefault="00B10795" w:rsidP="0072669B">
      <w:bookmarkStart w:id="0" w:name="_GoBack"/>
      <w:bookmarkEnd w:id="0"/>
    </w:p>
    <w:p w:rsidR="00DB1FA6" w:rsidRDefault="00DB1FA6" w:rsidP="00DB1FA6"/>
    <w:p w:rsidR="00DB1FA6" w:rsidRPr="00DB1FA6" w:rsidRDefault="00DB1FA6" w:rsidP="00DB1FA6">
      <w:pPr>
        <w:jc w:val="center"/>
        <w:rPr>
          <w:sz w:val="32"/>
          <w:szCs w:val="32"/>
        </w:rPr>
      </w:pPr>
      <w:r w:rsidRPr="00DB1FA6">
        <w:rPr>
          <w:sz w:val="32"/>
          <w:szCs w:val="32"/>
          <w:bdr w:val="single" w:sz="4" w:space="0" w:color="auto"/>
        </w:rPr>
        <w:lastRenderedPageBreak/>
        <w:t>國寫基本思維</w:t>
      </w:r>
    </w:p>
    <w:p w:rsidR="00DB1FA6" w:rsidRPr="00DB1FA6" w:rsidRDefault="00DB1FA6" w:rsidP="00DB1FA6">
      <w:pPr>
        <w:jc w:val="center"/>
        <w:rPr>
          <w:sz w:val="28"/>
          <w:szCs w:val="28"/>
        </w:rPr>
      </w:pPr>
    </w:p>
    <w:p w:rsidR="00DB1FA6" w:rsidRPr="00DB1FA6" w:rsidRDefault="00DB1FA6" w:rsidP="00DB1FA6">
      <w:pPr>
        <w:jc w:val="center"/>
        <w:rPr>
          <w:sz w:val="48"/>
          <w:szCs w:val="48"/>
        </w:rPr>
      </w:pPr>
      <w:r w:rsidRPr="00DB1FA6">
        <w:rPr>
          <w:sz w:val="48"/>
          <w:szCs w:val="48"/>
        </w:rPr>
        <w:t>題</w:t>
      </w:r>
      <w:r w:rsidRPr="00DB1FA6">
        <w:rPr>
          <w:rFonts w:hint="eastAsia"/>
          <w:sz w:val="48"/>
          <w:szCs w:val="48"/>
        </w:rPr>
        <w:t xml:space="preserve"> </w:t>
      </w:r>
      <w:r w:rsidRPr="00DB1FA6">
        <w:rPr>
          <w:sz w:val="48"/>
          <w:szCs w:val="48"/>
        </w:rPr>
        <w:t>材</w:t>
      </w:r>
      <w:r w:rsidRPr="00DB1FA6">
        <w:rPr>
          <w:rFonts w:hint="eastAsia"/>
          <w:sz w:val="48"/>
          <w:szCs w:val="48"/>
        </w:rPr>
        <w:t xml:space="preserve"> </w:t>
      </w:r>
      <w:r w:rsidRPr="00DB1FA6">
        <w:rPr>
          <w:sz w:val="48"/>
          <w:szCs w:val="48"/>
        </w:rPr>
        <w:t>生</w:t>
      </w:r>
      <w:r w:rsidRPr="00DB1FA6">
        <w:rPr>
          <w:rFonts w:hint="eastAsia"/>
          <w:sz w:val="48"/>
          <w:szCs w:val="48"/>
        </w:rPr>
        <w:t xml:space="preserve"> </w:t>
      </w:r>
      <w:r w:rsidRPr="00DB1FA6">
        <w:rPr>
          <w:sz w:val="48"/>
          <w:szCs w:val="48"/>
        </w:rPr>
        <w:t>活</w:t>
      </w:r>
      <w:r w:rsidRPr="00DB1FA6">
        <w:rPr>
          <w:rFonts w:hint="eastAsia"/>
          <w:sz w:val="48"/>
          <w:szCs w:val="48"/>
        </w:rPr>
        <w:t xml:space="preserve"> </w:t>
      </w:r>
      <w:r w:rsidRPr="00DB1FA6">
        <w:rPr>
          <w:sz w:val="48"/>
          <w:szCs w:val="48"/>
        </w:rPr>
        <w:t>化</w:t>
      </w:r>
    </w:p>
    <w:p w:rsidR="00DB1FA6" w:rsidRDefault="00DB1FA6" w:rsidP="00DB1FA6"/>
    <w:p w:rsidR="00DB1FA6" w:rsidRDefault="00DB1FA6" w:rsidP="00DB1FA6"/>
    <w:p w:rsidR="00DB1FA6" w:rsidRDefault="00DB1FA6" w:rsidP="00DB1FA6"/>
    <w:p w:rsidR="00DB1FA6" w:rsidRDefault="00DB1FA6" w:rsidP="00DB1FA6"/>
    <w:p w:rsidR="00DB1FA6" w:rsidRDefault="00DB1FA6" w:rsidP="00DB1FA6"/>
    <w:p w:rsidR="00DB1FA6" w:rsidRDefault="00DB1FA6" w:rsidP="00DB1FA6">
      <w:pPr>
        <w:jc w:val="center"/>
        <w:rPr>
          <w:sz w:val="32"/>
          <w:szCs w:val="32"/>
          <w:bdr w:val="single" w:sz="4" w:space="0" w:color="auto"/>
        </w:rPr>
      </w:pPr>
      <w:r w:rsidRPr="00DB1FA6">
        <w:rPr>
          <w:sz w:val="32"/>
          <w:szCs w:val="32"/>
          <w:bdr w:val="single" w:sz="4" w:space="0" w:color="auto"/>
        </w:rPr>
        <w:t>國寫測試表達能力</w:t>
      </w:r>
    </w:p>
    <w:p w:rsidR="00DB1FA6" w:rsidRPr="00DB1FA6" w:rsidRDefault="00DB1FA6" w:rsidP="00DB1FA6">
      <w:pPr>
        <w:jc w:val="center"/>
        <w:rPr>
          <w:sz w:val="32"/>
          <w:szCs w:val="32"/>
        </w:rPr>
      </w:pP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1.</w:t>
      </w:r>
      <w:r w:rsidRPr="00DB1FA6">
        <w:rPr>
          <w:sz w:val="40"/>
          <w:szCs w:val="40"/>
        </w:rPr>
        <w:t>分析推論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2.</w:t>
      </w:r>
      <w:r w:rsidRPr="00DB1FA6">
        <w:rPr>
          <w:sz w:val="40"/>
          <w:szCs w:val="40"/>
        </w:rPr>
        <w:t>闡述見解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3.</w:t>
      </w:r>
      <w:r w:rsidRPr="00DB1FA6">
        <w:rPr>
          <w:sz w:val="40"/>
          <w:szCs w:val="40"/>
        </w:rPr>
        <w:t>創作抒發</w:t>
      </w:r>
    </w:p>
    <w:p w:rsidR="00DB1FA6" w:rsidRDefault="00DB1FA6" w:rsidP="00DB1FA6">
      <w:pPr>
        <w:jc w:val="center"/>
      </w:pPr>
    </w:p>
    <w:p w:rsidR="00DB1FA6" w:rsidRDefault="00DB1FA6" w:rsidP="00DB1FA6">
      <w:pPr>
        <w:jc w:val="center"/>
      </w:pPr>
    </w:p>
    <w:p w:rsidR="00DB1FA6" w:rsidRDefault="00DB1FA6" w:rsidP="00DB1FA6">
      <w:pPr>
        <w:jc w:val="center"/>
      </w:pPr>
    </w:p>
    <w:p w:rsidR="00DB1FA6" w:rsidRDefault="00DB1FA6" w:rsidP="00DB1FA6">
      <w:pPr>
        <w:jc w:val="center"/>
      </w:pPr>
    </w:p>
    <w:p w:rsidR="00DB1FA6" w:rsidRDefault="00DB1FA6" w:rsidP="00DB1FA6">
      <w:pPr>
        <w:jc w:val="center"/>
      </w:pPr>
    </w:p>
    <w:p w:rsidR="00DB1FA6" w:rsidRDefault="00DB1FA6" w:rsidP="00DB1FA6">
      <w:pPr>
        <w:jc w:val="center"/>
        <w:rPr>
          <w:sz w:val="32"/>
          <w:szCs w:val="32"/>
          <w:bdr w:val="single" w:sz="4" w:space="0" w:color="auto"/>
        </w:rPr>
      </w:pPr>
      <w:r w:rsidRPr="00DB1FA6">
        <w:rPr>
          <w:sz w:val="32"/>
          <w:szCs w:val="32"/>
          <w:bdr w:val="single" w:sz="4" w:space="0" w:color="auto"/>
        </w:rPr>
        <w:t>國寫寫作目標</w:t>
      </w:r>
    </w:p>
    <w:p w:rsidR="00DB1FA6" w:rsidRPr="00DB1FA6" w:rsidRDefault="00DB1FA6" w:rsidP="00DB1FA6">
      <w:pPr>
        <w:jc w:val="center"/>
        <w:rPr>
          <w:sz w:val="32"/>
          <w:szCs w:val="32"/>
          <w:bdr w:val="single" w:sz="4" w:space="0" w:color="auto"/>
        </w:rPr>
      </w:pP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1.</w:t>
      </w:r>
      <w:r w:rsidRPr="00DB1FA6">
        <w:rPr>
          <w:sz w:val="40"/>
          <w:szCs w:val="40"/>
        </w:rPr>
        <w:t>閱讀理解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2.</w:t>
      </w:r>
      <w:r w:rsidRPr="00DB1FA6">
        <w:rPr>
          <w:sz w:val="40"/>
          <w:szCs w:val="40"/>
        </w:rPr>
        <w:t>分析歸納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3.</w:t>
      </w:r>
      <w:r w:rsidRPr="00DB1FA6">
        <w:rPr>
          <w:sz w:val="40"/>
          <w:szCs w:val="40"/>
        </w:rPr>
        <w:t>訊息延伸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4.</w:t>
      </w:r>
      <w:r w:rsidRPr="00DB1FA6">
        <w:rPr>
          <w:sz w:val="40"/>
          <w:szCs w:val="40"/>
        </w:rPr>
        <w:t>經驗提取</w:t>
      </w:r>
    </w:p>
    <w:p w:rsidR="00DB1FA6" w:rsidRPr="00DB1FA6" w:rsidRDefault="00DB1FA6" w:rsidP="00DB1FA6">
      <w:pPr>
        <w:jc w:val="center"/>
        <w:rPr>
          <w:sz w:val="40"/>
          <w:szCs w:val="40"/>
        </w:rPr>
      </w:pPr>
      <w:r w:rsidRPr="00DB1FA6">
        <w:rPr>
          <w:sz w:val="40"/>
          <w:szCs w:val="40"/>
        </w:rPr>
        <w:t>5.</w:t>
      </w:r>
      <w:r w:rsidRPr="00DB1FA6">
        <w:rPr>
          <w:sz w:val="40"/>
          <w:szCs w:val="40"/>
        </w:rPr>
        <w:t>情感抒發</w:t>
      </w:r>
    </w:p>
    <w:p w:rsidR="00DB1FA6" w:rsidRDefault="00DB1FA6" w:rsidP="0072669B"/>
    <w:p w:rsidR="00DB1FA6" w:rsidRPr="002E12E8" w:rsidRDefault="00DB1FA6" w:rsidP="00DB1FA6">
      <w:pPr>
        <w:jc w:val="center"/>
        <w:rPr>
          <w:b/>
          <w:sz w:val="32"/>
          <w:szCs w:val="32"/>
          <w:u w:val="single"/>
        </w:rPr>
      </w:pPr>
      <w:r w:rsidRPr="002E12E8">
        <w:rPr>
          <w:rFonts w:hint="eastAsia"/>
          <w:b/>
          <w:sz w:val="32"/>
          <w:szCs w:val="32"/>
          <w:u w:val="single"/>
        </w:rPr>
        <w:t>國寫八大題型分類</w:t>
      </w:r>
    </w:p>
    <w:p w:rsidR="00DB1FA6" w:rsidRDefault="00F0417B" w:rsidP="00DB1FA6">
      <w:pPr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知性</w:t>
      </w: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情意</w:t>
      </w:r>
    </w:p>
    <w:p w:rsidR="00F0417B" w:rsidRDefault="00F0417B" w:rsidP="00F0417B">
      <w:pPr>
        <w:ind w:right="640"/>
        <w:rPr>
          <w:sz w:val="32"/>
          <w:szCs w:val="32"/>
          <w:bdr w:val="single" w:sz="4" w:space="0" w:color="auto"/>
        </w:rPr>
      </w:pPr>
    </w:p>
    <w:p w:rsidR="00DB1FA6" w:rsidRPr="002E12E8" w:rsidRDefault="00F0417B" w:rsidP="00F0417B">
      <w:pPr>
        <w:ind w:right="43"/>
        <w:rPr>
          <w:rFonts w:ascii="標楷體" w:eastAsia="標楷體" w:hAnsi="標楷體"/>
          <w:sz w:val="52"/>
          <w:szCs w:val="52"/>
        </w:rPr>
      </w:pPr>
      <w:r w:rsidRPr="00F0417B">
        <w:rPr>
          <w:rFonts w:ascii="標楷體" w:eastAsia="標楷體" w:hAnsi="標楷體" w:hint="eastAsia"/>
          <w:sz w:val="36"/>
          <w:szCs w:val="36"/>
        </w:rPr>
        <w:t xml:space="preserve">  </w:t>
      </w:r>
      <w:r w:rsidRPr="002E12E8">
        <w:rPr>
          <w:rFonts w:ascii="標楷體" w:eastAsia="標楷體" w:hAnsi="標楷體" w:hint="eastAsia"/>
          <w:sz w:val="52"/>
          <w:szCs w:val="52"/>
        </w:rPr>
        <w:t xml:space="preserve"> </w:t>
      </w:r>
      <w:r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圖表</w:t>
      </w:r>
      <w:r w:rsidR="002E12E8">
        <w:rPr>
          <w:rFonts w:ascii="標楷體" w:eastAsia="標楷體" w:hAnsi="標楷體" w:hint="eastAsia"/>
          <w:sz w:val="52"/>
          <w:szCs w:val="52"/>
        </w:rPr>
        <w:t xml:space="preserve">      </w:t>
      </w:r>
      <w:r w:rsidRPr="002E12E8">
        <w:rPr>
          <w:rFonts w:ascii="標楷體" w:eastAsia="標楷體" w:hAnsi="標楷體" w:hint="eastAsia"/>
          <w:sz w:val="52"/>
          <w:szCs w:val="52"/>
        </w:rPr>
        <w:t xml:space="preserve">           </w:t>
      </w:r>
      <w:r w:rsidR="00DB1FA6"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自我成長</w:t>
      </w:r>
    </w:p>
    <w:p w:rsidR="00F0417B" w:rsidRDefault="00F0417B" w:rsidP="00F0417B">
      <w:pPr>
        <w:ind w:right="640"/>
        <w:rPr>
          <w:rFonts w:ascii="標楷體" w:eastAsia="標楷體" w:hAnsi="標楷體"/>
          <w:sz w:val="52"/>
          <w:szCs w:val="52"/>
        </w:rPr>
      </w:pPr>
    </w:p>
    <w:p w:rsidR="002E12E8" w:rsidRPr="002E12E8" w:rsidRDefault="002E12E8" w:rsidP="00F0417B">
      <w:pPr>
        <w:ind w:right="640"/>
        <w:rPr>
          <w:rFonts w:ascii="標楷體" w:eastAsia="標楷體" w:hAnsi="標楷體"/>
          <w:sz w:val="52"/>
          <w:szCs w:val="52"/>
        </w:rPr>
      </w:pPr>
    </w:p>
    <w:p w:rsidR="00DB1FA6" w:rsidRPr="002E12E8" w:rsidRDefault="00F0417B" w:rsidP="002E12E8">
      <w:pPr>
        <w:ind w:right="43"/>
        <w:rPr>
          <w:rFonts w:ascii="標楷體" w:eastAsia="標楷體" w:hAnsi="標楷體"/>
          <w:sz w:val="52"/>
          <w:szCs w:val="52"/>
        </w:rPr>
      </w:pPr>
      <w:r w:rsidRPr="002E12E8">
        <w:rPr>
          <w:rFonts w:ascii="標楷體" w:eastAsia="標楷體" w:hAnsi="標楷體" w:hint="eastAsia"/>
          <w:sz w:val="52"/>
          <w:szCs w:val="52"/>
        </w:rPr>
        <w:t xml:space="preserve">  </w:t>
      </w:r>
      <w:r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觀點表達</w:t>
      </w:r>
      <w:r w:rsidR="002E12E8">
        <w:rPr>
          <w:rFonts w:ascii="標楷體" w:eastAsia="標楷體" w:hAnsi="標楷體" w:hint="eastAsia"/>
          <w:sz w:val="52"/>
          <w:szCs w:val="52"/>
        </w:rPr>
        <w:t xml:space="preserve">           </w:t>
      </w:r>
      <w:r w:rsidRPr="002E12E8">
        <w:rPr>
          <w:rFonts w:ascii="標楷體" w:eastAsia="標楷體" w:hAnsi="標楷體" w:hint="eastAsia"/>
          <w:sz w:val="52"/>
          <w:szCs w:val="52"/>
        </w:rPr>
        <w:t xml:space="preserve">  </w:t>
      </w:r>
      <w:r w:rsidR="00DB1FA6"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空間與情感</w:t>
      </w:r>
    </w:p>
    <w:p w:rsidR="00F0417B" w:rsidRDefault="00F0417B" w:rsidP="00F0417B">
      <w:pPr>
        <w:ind w:right="320"/>
        <w:jc w:val="right"/>
        <w:rPr>
          <w:rFonts w:ascii="標楷體" w:eastAsia="標楷體" w:hAnsi="標楷體"/>
          <w:sz w:val="52"/>
          <w:szCs w:val="52"/>
        </w:rPr>
      </w:pPr>
    </w:p>
    <w:p w:rsidR="002E12E8" w:rsidRPr="002E12E8" w:rsidRDefault="002E12E8" w:rsidP="00F0417B">
      <w:pPr>
        <w:ind w:right="320"/>
        <w:jc w:val="right"/>
        <w:rPr>
          <w:rFonts w:ascii="標楷體" w:eastAsia="標楷體" w:hAnsi="標楷體"/>
          <w:sz w:val="52"/>
          <w:szCs w:val="52"/>
        </w:rPr>
      </w:pPr>
    </w:p>
    <w:p w:rsidR="00DB1FA6" w:rsidRPr="002E12E8" w:rsidRDefault="00F0417B" w:rsidP="00DB1FA6">
      <w:pPr>
        <w:rPr>
          <w:rFonts w:ascii="標楷體" w:eastAsia="標楷體" w:hAnsi="標楷體"/>
          <w:sz w:val="52"/>
          <w:szCs w:val="52"/>
        </w:rPr>
      </w:pPr>
      <w:r w:rsidRPr="002E12E8">
        <w:rPr>
          <w:rFonts w:ascii="標楷體" w:eastAsia="標楷體" w:hAnsi="標楷體" w:hint="eastAsia"/>
          <w:sz w:val="52"/>
          <w:szCs w:val="52"/>
        </w:rPr>
        <w:t xml:space="preserve">  </w:t>
      </w:r>
      <w:r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看圖寫作</w:t>
      </w:r>
      <w:r w:rsidR="002E12E8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2E12E8">
        <w:rPr>
          <w:rFonts w:ascii="標楷體" w:eastAsia="標楷體" w:hAnsi="標楷體" w:hint="eastAsia"/>
          <w:sz w:val="52"/>
          <w:szCs w:val="52"/>
        </w:rPr>
        <w:t xml:space="preserve">        </w:t>
      </w:r>
      <w:r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物質與情感</w:t>
      </w:r>
    </w:p>
    <w:p w:rsidR="00DB1FA6" w:rsidRDefault="00DB1FA6" w:rsidP="00DB1FA6">
      <w:pPr>
        <w:rPr>
          <w:rFonts w:ascii="標楷體" w:eastAsia="標楷體" w:hAnsi="標楷體"/>
          <w:sz w:val="52"/>
          <w:szCs w:val="52"/>
        </w:rPr>
      </w:pPr>
    </w:p>
    <w:p w:rsidR="002E12E8" w:rsidRPr="002E12E8" w:rsidRDefault="002E12E8" w:rsidP="00DB1FA6">
      <w:pPr>
        <w:rPr>
          <w:rFonts w:ascii="標楷體" w:eastAsia="標楷體" w:hAnsi="標楷體"/>
          <w:sz w:val="52"/>
          <w:szCs w:val="52"/>
        </w:rPr>
      </w:pPr>
    </w:p>
    <w:p w:rsidR="00DB1FA6" w:rsidRPr="002E12E8" w:rsidRDefault="002E12E8" w:rsidP="002E12E8">
      <w:pPr>
        <w:ind w:right="-99"/>
        <w:jc w:val="both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   </w:t>
      </w:r>
      <w:r w:rsidR="00DB1FA6"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社會關懷</w:t>
      </w:r>
    </w:p>
    <w:p w:rsidR="002E12E8" w:rsidRDefault="002E12E8" w:rsidP="00DB1FA6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</w:t>
      </w:r>
    </w:p>
    <w:p w:rsidR="002E12E8" w:rsidRDefault="002E12E8" w:rsidP="00DB1FA6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</w:t>
      </w:r>
    </w:p>
    <w:p w:rsidR="00DB1FA6" w:rsidRPr="002E12E8" w:rsidRDefault="002E12E8" w:rsidP="002E12E8">
      <w:pPr>
        <w:jc w:val="both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       </w:t>
      </w:r>
      <w:r w:rsidR="00DB1FA6" w:rsidRPr="002E12E8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人際關係</w:t>
      </w:r>
    </w:p>
    <w:sectPr w:rsidR="00DB1FA6" w:rsidRPr="002E12E8" w:rsidSect="001E1E16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21" w:rsidRDefault="00196B21" w:rsidP="00FD79A9">
      <w:r>
        <w:separator/>
      </w:r>
    </w:p>
  </w:endnote>
  <w:endnote w:type="continuationSeparator" w:id="0">
    <w:p w:rsidR="00196B21" w:rsidRDefault="00196B21" w:rsidP="00F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A4" w:rsidRDefault="00B1079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21" w:rsidRDefault="00196B21" w:rsidP="00FD79A9">
      <w:r>
        <w:separator/>
      </w:r>
    </w:p>
  </w:footnote>
  <w:footnote w:type="continuationSeparator" w:id="0">
    <w:p w:rsidR="00196B21" w:rsidRDefault="00196B21" w:rsidP="00FD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CA4" w:rsidRDefault="00B10795">
    <w:pPr>
      <w:pStyle w:val="a3"/>
      <w:spacing w:line="14" w:lineRule="auto"/>
      <w:rPr>
        <w:sz w:val="20"/>
      </w:rPr>
    </w:pPr>
    <w:r>
      <w:pict>
        <v:shape id="docshape146" o:spid="_x0000_s2049" style="position:absolute;margin-left:63.85pt;margin-top:67.55pt;width:467.75pt;height:1.8pt;z-index:-251658752;mso-position-horizontal-relative:page;mso-position-vertical-relative:page" coordorigin="1277,1351" coordsize="9355,36" o:spt="100" adj="0,,0" path="m10631,1375r-9354,l1277,1387r9354,l10631,1375xm10631,1351r-9354,l1277,1363r9354,l10631,1351xe" fillcolor="black" stroked="f">
          <v:stroke joinstyle="round"/>
          <v:formulas/>
          <v:path arrowok="t" o:connecttype="segment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80"/>
    <w:rsid w:val="00196B21"/>
    <w:rsid w:val="001E1E16"/>
    <w:rsid w:val="002E12E8"/>
    <w:rsid w:val="004E6D68"/>
    <w:rsid w:val="00680EF4"/>
    <w:rsid w:val="0072669B"/>
    <w:rsid w:val="008C2E80"/>
    <w:rsid w:val="00B10795"/>
    <w:rsid w:val="00D51DBA"/>
    <w:rsid w:val="00D70BFA"/>
    <w:rsid w:val="00DB1FA6"/>
    <w:rsid w:val="00F0417B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1"/>
    <w:qFormat/>
    <w:rsid w:val="0072669B"/>
    <w:pPr>
      <w:autoSpaceDE w:val="0"/>
      <w:autoSpaceDN w:val="0"/>
      <w:ind w:left="117"/>
      <w:outlineLvl w:val="2"/>
    </w:pPr>
    <w:rPr>
      <w:rFonts w:ascii="Microsoft YaHei" w:eastAsia="Microsoft YaHei" w:hAnsi="Microsoft YaHei" w:cs="Microsoft YaHe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6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1"/>
    <w:rsid w:val="0072669B"/>
    <w:rPr>
      <w:rFonts w:ascii="Microsoft YaHei" w:eastAsia="Microsoft YaHei" w:hAnsi="Microsoft YaHei" w:cs="Microsoft YaHei"/>
      <w:b/>
      <w:bCs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72669B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2669B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2669B"/>
    <w:pPr>
      <w:autoSpaceDE w:val="0"/>
      <w:autoSpaceDN w:val="0"/>
      <w:jc w:val="center"/>
    </w:pPr>
    <w:rPr>
      <w:rFonts w:ascii="細明體" w:eastAsia="細明體" w:hAnsi="細明體" w:cs="細明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D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9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9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1"/>
    <w:qFormat/>
    <w:rsid w:val="0072669B"/>
    <w:pPr>
      <w:autoSpaceDE w:val="0"/>
      <w:autoSpaceDN w:val="0"/>
      <w:ind w:left="117"/>
      <w:outlineLvl w:val="2"/>
    </w:pPr>
    <w:rPr>
      <w:rFonts w:ascii="Microsoft YaHei" w:eastAsia="Microsoft YaHei" w:hAnsi="Microsoft YaHei" w:cs="Microsoft YaHei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6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1"/>
    <w:rsid w:val="0072669B"/>
    <w:rPr>
      <w:rFonts w:ascii="Microsoft YaHei" w:eastAsia="Microsoft YaHei" w:hAnsi="Microsoft YaHei" w:cs="Microsoft YaHei"/>
      <w:b/>
      <w:bCs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72669B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72669B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2669B"/>
    <w:pPr>
      <w:autoSpaceDE w:val="0"/>
      <w:autoSpaceDN w:val="0"/>
      <w:jc w:val="center"/>
    </w:pPr>
    <w:rPr>
      <w:rFonts w:ascii="細明體" w:eastAsia="細明體" w:hAnsi="細明體" w:cs="細明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D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9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2021-10-04T16:24:00Z</dcterms:created>
  <dcterms:modified xsi:type="dcterms:W3CDTF">2021-10-05T06:47:00Z</dcterms:modified>
</cp:coreProperties>
</file>